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60" w:rsidRPr="009E5233" w:rsidRDefault="006F7860" w:rsidP="006F7860">
      <w:pPr>
        <w:pStyle w:val="a4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Приложение №5</w:t>
      </w:r>
    </w:p>
    <w:p w:rsidR="006F7860" w:rsidRPr="009E5233" w:rsidRDefault="006F7860" w:rsidP="006F7860">
      <w:pPr>
        <w:pStyle w:val="a4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К приказу</w:t>
      </w:r>
      <w:r w:rsidRPr="009E5233">
        <w:rPr>
          <w:rFonts w:cs="Times New Roman"/>
          <w:color w:val="333333"/>
        </w:rPr>
        <w:t xml:space="preserve"> №34-ОД от 02.12.2022 г. </w:t>
      </w:r>
    </w:p>
    <w:p w:rsidR="006F7860" w:rsidRDefault="006F7860" w:rsidP="006F7860">
      <w:pPr>
        <w:pStyle w:val="a4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9E5233">
        <w:rPr>
          <w:rFonts w:cs="Times New Roman"/>
          <w:color w:val="333333"/>
        </w:rPr>
        <w:t>«Фонда развития Республики Тыва»</w:t>
      </w:r>
    </w:p>
    <w:p w:rsidR="00CD6345" w:rsidRPr="00CD6345" w:rsidRDefault="00CD6345" w:rsidP="00CD6345">
      <w:pPr>
        <w:tabs>
          <w:tab w:val="left" w:pos="1260"/>
          <w:tab w:val="num" w:pos="3060"/>
        </w:tabs>
        <w:suppressAutoHyphens/>
        <w:jc w:val="right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32393" w:rsidRPr="00CD6345" w:rsidRDefault="00732393" w:rsidP="00732393">
      <w:pPr>
        <w:jc w:val="center"/>
        <w:rPr>
          <w:b/>
          <w:sz w:val="24"/>
          <w:szCs w:val="24"/>
        </w:rPr>
      </w:pPr>
      <w:r w:rsidRPr="00CD6345">
        <w:rPr>
          <w:b/>
          <w:sz w:val="24"/>
          <w:szCs w:val="24"/>
        </w:rPr>
        <w:t>Список документов по обеспечению</w:t>
      </w:r>
    </w:p>
    <w:p w:rsidR="00732393" w:rsidRPr="00CD6345" w:rsidRDefault="00732393" w:rsidP="00732393"/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5"/>
        <w:gridCol w:w="1134"/>
      </w:tblGrid>
      <w:tr w:rsidR="00732393" w:rsidRPr="00CD6345" w:rsidTr="00F979DE">
        <w:trPr>
          <w:trHeight w:val="220"/>
        </w:trPr>
        <w:tc>
          <w:tcPr>
            <w:tcW w:w="675" w:type="dxa"/>
          </w:tcPr>
          <w:p w:rsidR="00732393" w:rsidRPr="00CD6345" w:rsidRDefault="00732393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№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Подпись сотрудника Фонда </w:t>
            </w: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Дата предоставления</w:t>
            </w: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Недвижимость (жилая):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.1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Полная выписка из Единого государственного реестра прав на недвижимое имущество - ЕГРП </w:t>
            </w:r>
            <w:r w:rsidRPr="00CD6345">
              <w:rPr>
                <w:i/>
                <w:sz w:val="24"/>
                <w:szCs w:val="24"/>
              </w:rPr>
              <w:t>(действительна в течение 30 дней на дату предоставления документов)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.2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документа, являющегося основанием возникновения права собственности  на недвижимое имущество; 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.3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свидетельства о государственной регистрации права собственности на недвижимое имущество </w:t>
            </w:r>
            <w:r w:rsidRPr="00CD6345">
              <w:rPr>
                <w:i/>
                <w:sz w:val="24"/>
                <w:szCs w:val="24"/>
              </w:rPr>
              <w:t xml:space="preserve">(для </w:t>
            </w:r>
            <w:proofErr w:type="gramStart"/>
            <w:r w:rsidRPr="00CD6345">
              <w:rPr>
                <w:i/>
                <w:sz w:val="24"/>
                <w:szCs w:val="24"/>
              </w:rPr>
              <w:t>имущества</w:t>
            </w:r>
            <w:proofErr w:type="gramEnd"/>
            <w:r w:rsidRPr="00CD6345">
              <w:rPr>
                <w:i/>
                <w:sz w:val="24"/>
                <w:szCs w:val="24"/>
              </w:rPr>
              <w:t xml:space="preserve"> приобретенного до 16.07.2016 г.)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.4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Технический/кадастровый паспорт (копия);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.5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i/>
                <w:sz w:val="24"/>
                <w:szCs w:val="24"/>
              </w:rPr>
              <w:t>В случае</w:t>
            </w:r>
            <w:proofErr w:type="gramStart"/>
            <w:r w:rsidRPr="00CD6345">
              <w:rPr>
                <w:i/>
                <w:sz w:val="24"/>
                <w:szCs w:val="24"/>
              </w:rPr>
              <w:t>,</w:t>
            </w:r>
            <w:proofErr w:type="gramEnd"/>
            <w:r w:rsidRPr="00CD6345">
              <w:rPr>
                <w:i/>
                <w:sz w:val="24"/>
                <w:szCs w:val="24"/>
              </w:rPr>
              <w:t xml:space="preserve"> если залогодателем является физическое лицо:</w:t>
            </w:r>
          </w:p>
          <w:p w:rsidR="00732393" w:rsidRPr="00CD6345" w:rsidRDefault="00732393" w:rsidP="00F979DE">
            <w:pPr>
              <w:jc w:val="both"/>
              <w:rPr>
                <w:i/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Нотариальное согласие супруга (и) на передачу в </w:t>
            </w:r>
            <w:proofErr w:type="gramStart"/>
            <w:r w:rsidRPr="00CD6345">
              <w:rPr>
                <w:sz w:val="24"/>
                <w:szCs w:val="24"/>
              </w:rPr>
              <w:t>залог Фонду</w:t>
            </w:r>
            <w:proofErr w:type="gramEnd"/>
            <w:r w:rsidRPr="00CD6345">
              <w:rPr>
                <w:sz w:val="24"/>
                <w:szCs w:val="24"/>
              </w:rPr>
              <w:t xml:space="preserve"> данного объекта недвижимости </w:t>
            </w:r>
            <w:r w:rsidRPr="00CD6345">
              <w:rPr>
                <w:i/>
                <w:sz w:val="24"/>
                <w:szCs w:val="24"/>
              </w:rPr>
              <w:t>(если имущество приобретено в браке и является совме</w:t>
            </w:r>
            <w:r w:rsidR="00A15D28" w:rsidRPr="00CD6345">
              <w:rPr>
                <w:i/>
                <w:sz w:val="24"/>
                <w:szCs w:val="24"/>
              </w:rPr>
              <w:t>стной собственностью супругов).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.6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Экспертное заключение независимого оценщика о рыночной стоимости объекта недвижимости, в случае необходимости </w:t>
            </w:r>
            <w:r w:rsidR="00A15D28" w:rsidRPr="00CD6345">
              <w:rPr>
                <w:i/>
                <w:sz w:val="24"/>
                <w:szCs w:val="24"/>
              </w:rPr>
              <w:t xml:space="preserve">(действительно в течение 12-ти </w:t>
            </w:r>
            <w:r w:rsidRPr="00CD6345">
              <w:rPr>
                <w:i/>
                <w:sz w:val="24"/>
                <w:szCs w:val="24"/>
              </w:rPr>
              <w:t>месяцев).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.7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Справки, подтверждающие отсутствие зарегистрированных лиц в жилом помещении или поквартирную карточку (выписку из домовой книги);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.8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Разрешение органов опеки, в случае регистрации несовершеннолетних детей.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Недвижимость (нежилая коммерческая)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.1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Полная выписка из Единого государственного реестра прав на недвижимое имущество - ЕГРП </w:t>
            </w:r>
            <w:r w:rsidRPr="00CD6345">
              <w:rPr>
                <w:i/>
                <w:sz w:val="24"/>
                <w:szCs w:val="24"/>
              </w:rPr>
              <w:t>(действительна в течение 30 дней на дату предоставления документов)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.2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Копия документа, являющегося основанием возникновения права собственности  на недвижимое имущество;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.3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свидетельства о государственной регистрации права собственности на недвижимое имущество </w:t>
            </w:r>
            <w:r w:rsidRPr="00CD6345">
              <w:rPr>
                <w:i/>
                <w:sz w:val="24"/>
                <w:szCs w:val="24"/>
              </w:rPr>
              <w:t xml:space="preserve">(для </w:t>
            </w:r>
            <w:proofErr w:type="gramStart"/>
            <w:r w:rsidRPr="00CD6345">
              <w:rPr>
                <w:i/>
                <w:sz w:val="24"/>
                <w:szCs w:val="24"/>
              </w:rPr>
              <w:t>имущества</w:t>
            </w:r>
            <w:proofErr w:type="gramEnd"/>
            <w:r w:rsidRPr="00CD6345">
              <w:rPr>
                <w:i/>
                <w:sz w:val="24"/>
                <w:szCs w:val="24"/>
              </w:rPr>
              <w:t xml:space="preserve"> приобретенного до 16.07.2016 г.)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.4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Технический/кадастровый паспорт, кадастровый план земельного участка (копия)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.5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Экспертное заключение независимого оценщика о рыночной стоимости объекта недвижимости, в случае необходимости </w:t>
            </w:r>
            <w:r w:rsidR="003B306A" w:rsidRPr="00CD6345">
              <w:rPr>
                <w:i/>
                <w:sz w:val="24"/>
                <w:szCs w:val="24"/>
              </w:rPr>
              <w:t>(действительно в течение 12-ти</w:t>
            </w:r>
            <w:r w:rsidRPr="00CD6345">
              <w:rPr>
                <w:i/>
                <w:sz w:val="24"/>
                <w:szCs w:val="24"/>
              </w:rPr>
              <w:t xml:space="preserve"> месяцев).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</w:t>
            </w:r>
            <w:r w:rsidR="00732393" w:rsidRPr="00CD6345">
              <w:rPr>
                <w:sz w:val="24"/>
                <w:szCs w:val="24"/>
              </w:rPr>
              <w:t>.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</w:t>
            </w:r>
            <w:r w:rsidR="00732393" w:rsidRPr="00CD6345">
              <w:rPr>
                <w:sz w:val="24"/>
                <w:szCs w:val="24"/>
              </w:rPr>
              <w:t>.1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proofErr w:type="gramStart"/>
            <w:r w:rsidRPr="00CD6345">
              <w:rPr>
                <w:sz w:val="24"/>
                <w:szCs w:val="24"/>
              </w:rPr>
              <w:t>документы, подтверждающие право собственности (договор купли-продажи или поставки, акты приема-передачи,</w:t>
            </w:r>
            <w:r w:rsidRPr="00CD6345">
              <w:rPr>
                <w:spacing w:val="-2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 xml:space="preserve">платежные документы (платежные </w:t>
            </w:r>
            <w:r w:rsidRPr="00CD6345">
              <w:rPr>
                <w:w w:val="95"/>
                <w:sz w:val="24"/>
                <w:szCs w:val="24"/>
              </w:rPr>
              <w:t>поручения, расписки)</w:t>
            </w:r>
            <w:r w:rsidRPr="00CD6345">
              <w:rPr>
                <w:spacing w:val="40"/>
                <w:sz w:val="24"/>
                <w:szCs w:val="24"/>
              </w:rPr>
              <w:t xml:space="preserve"> </w:t>
            </w:r>
            <w:r w:rsidRPr="00CD6345">
              <w:rPr>
                <w:w w:val="95"/>
                <w:sz w:val="24"/>
                <w:szCs w:val="24"/>
              </w:rPr>
              <w:t>или квитанции к</w:t>
            </w:r>
            <w:r w:rsidRPr="00CD634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D6345">
              <w:rPr>
                <w:w w:val="95"/>
                <w:sz w:val="24"/>
                <w:szCs w:val="24"/>
              </w:rPr>
              <w:t xml:space="preserve">приходным ордерам (при приобретении за наличный </w:t>
            </w:r>
            <w:r w:rsidRPr="00CD6345">
              <w:rPr>
                <w:sz w:val="24"/>
                <w:szCs w:val="24"/>
              </w:rPr>
              <w:t xml:space="preserve">расчет), счета-фактуры, товарно-транспортные накладные и т.п.), при необходимости </w:t>
            </w:r>
            <w:r w:rsidRPr="00CD6345">
              <w:rPr>
                <w:w w:val="90"/>
                <w:sz w:val="24"/>
                <w:szCs w:val="24"/>
              </w:rPr>
              <w:t xml:space="preserve">— </w:t>
            </w:r>
            <w:r w:rsidRPr="00CD6345">
              <w:rPr>
                <w:sz w:val="24"/>
                <w:szCs w:val="24"/>
              </w:rPr>
              <w:t>технические</w:t>
            </w:r>
            <w:r w:rsidRPr="00CD6345">
              <w:rPr>
                <w:spacing w:val="-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паспорта,</w:t>
            </w:r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инструкции</w:t>
            </w:r>
            <w:r w:rsidRPr="00CD6345">
              <w:rPr>
                <w:spacing w:val="-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по</w:t>
            </w:r>
            <w:r w:rsidRPr="00CD6345">
              <w:rPr>
                <w:spacing w:val="-13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эксплуатации,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гарантийные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талоны,</w:t>
            </w:r>
            <w:r w:rsidRPr="00CD6345">
              <w:rPr>
                <w:spacing w:val="-10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карточки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lastRenderedPageBreak/>
              <w:t>учета основных средств (при их наличии) и т.п.</w:t>
            </w:r>
            <w:proofErr w:type="gramEnd"/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lastRenderedPageBreak/>
              <w:t>3</w:t>
            </w:r>
            <w:r w:rsidR="00732393" w:rsidRPr="00CD6345">
              <w:rPr>
                <w:sz w:val="24"/>
                <w:szCs w:val="24"/>
              </w:rPr>
              <w:t>.2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proofErr w:type="gramStart"/>
            <w:r w:rsidRPr="00CD6345">
              <w:rPr>
                <w:sz w:val="24"/>
                <w:szCs w:val="24"/>
              </w:rPr>
              <w:t>Разрешительная документация (освидетельствование, разрешение, допуск, тех. контроль и др.) надзорных органов (</w:t>
            </w:r>
            <w:proofErr w:type="spellStart"/>
            <w:r w:rsidRPr="00CD6345">
              <w:rPr>
                <w:sz w:val="24"/>
                <w:szCs w:val="24"/>
              </w:rPr>
              <w:t>Ростехнадзор</w:t>
            </w:r>
            <w:proofErr w:type="spellEnd"/>
            <w:r w:rsidRPr="00CD6345">
              <w:rPr>
                <w:sz w:val="24"/>
                <w:szCs w:val="24"/>
              </w:rPr>
              <w:t xml:space="preserve">, </w:t>
            </w:r>
            <w:proofErr w:type="spellStart"/>
            <w:r w:rsidRPr="00CD6345">
              <w:rPr>
                <w:sz w:val="24"/>
                <w:szCs w:val="24"/>
              </w:rPr>
              <w:t>Гостехнадзор</w:t>
            </w:r>
            <w:proofErr w:type="spellEnd"/>
            <w:r w:rsidRPr="00CD6345">
              <w:rPr>
                <w:sz w:val="24"/>
                <w:szCs w:val="24"/>
              </w:rPr>
              <w:t xml:space="preserve"> и др.) на эксплуатацию оборудования, если требование предусмотрено законодательством.</w:t>
            </w:r>
            <w:proofErr w:type="gramEnd"/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</w:t>
            </w:r>
            <w:r w:rsidR="00732393" w:rsidRPr="00CD6345">
              <w:rPr>
                <w:sz w:val="24"/>
                <w:szCs w:val="24"/>
              </w:rPr>
              <w:t>.3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proofErr w:type="gramStart"/>
            <w:r w:rsidRPr="00CD6345">
              <w:rPr>
                <w:sz w:val="24"/>
                <w:szCs w:val="24"/>
              </w:rPr>
              <w:t>Документы, определяющие на каком основании оборудование</w:t>
            </w:r>
            <w:r w:rsidRPr="00CD6345">
              <w:rPr>
                <w:spacing w:val="-12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находится</w:t>
            </w:r>
            <w:proofErr w:type="gramEnd"/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по</w:t>
            </w:r>
            <w:r w:rsidRPr="00CD6345">
              <w:rPr>
                <w:spacing w:val="-1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указанному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адресу</w:t>
            </w:r>
            <w:r w:rsidRPr="00CD6345">
              <w:rPr>
                <w:spacing w:val="-9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(местонахождение)</w:t>
            </w:r>
            <w:r w:rsidRPr="00CD6345">
              <w:rPr>
                <w:spacing w:val="-1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(свидетельство</w:t>
            </w:r>
            <w:r w:rsidRPr="00CD6345">
              <w:rPr>
                <w:spacing w:val="-1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о</w:t>
            </w:r>
            <w:r w:rsidRPr="00CD6345">
              <w:rPr>
                <w:spacing w:val="-1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 xml:space="preserve">праве </w:t>
            </w:r>
            <w:r w:rsidRPr="00CD6345">
              <w:rPr>
                <w:spacing w:val="-2"/>
                <w:sz w:val="24"/>
                <w:szCs w:val="24"/>
              </w:rPr>
              <w:t>собственности,</w:t>
            </w:r>
            <w:r w:rsidRPr="00CD6345">
              <w:rPr>
                <w:spacing w:val="-14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выписка</w:t>
            </w:r>
            <w:r w:rsidRPr="00CD6345">
              <w:rPr>
                <w:spacing w:val="-6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из</w:t>
            </w:r>
            <w:r w:rsidRPr="00CD6345">
              <w:rPr>
                <w:spacing w:val="-11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ЕГРН,</w:t>
            </w:r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договор аренды и</w:t>
            </w:r>
            <w:r w:rsidRPr="00CD6345">
              <w:rPr>
                <w:spacing w:val="-14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др.)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4</w:t>
            </w:r>
            <w:r w:rsidR="00732393" w:rsidRPr="00CD6345">
              <w:rPr>
                <w:sz w:val="24"/>
                <w:szCs w:val="24"/>
              </w:rPr>
              <w:t>.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b/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Согласие на обработку персональных данных (по форме Фонда)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5</w:t>
            </w:r>
            <w:r w:rsidR="00732393" w:rsidRPr="00CD6345">
              <w:rPr>
                <w:sz w:val="24"/>
                <w:szCs w:val="24"/>
              </w:rPr>
              <w:t>.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b/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 xml:space="preserve">Согласие на получение информации в НБКИ (по форме Фонда) 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</w:tbl>
    <w:p w:rsidR="00732393" w:rsidRPr="00CD6345" w:rsidRDefault="00732393" w:rsidP="00732393">
      <w:pPr>
        <w:jc w:val="both"/>
      </w:pPr>
      <w:r w:rsidRPr="00CD6345">
        <w:t>*Клиент обязан предоставить оригиналы документов, с которых сняты копии для сверки сотруднику Фонда.</w:t>
      </w:r>
    </w:p>
    <w:p w:rsidR="000C523C" w:rsidRDefault="00732393" w:rsidP="00A15D28">
      <w:pPr>
        <w:jc w:val="both"/>
      </w:pPr>
      <w:r w:rsidRPr="00CD6345">
        <w:t xml:space="preserve">* Иные документы </w:t>
      </w:r>
      <w:r w:rsidRPr="00CD6345">
        <w:rPr>
          <w:i/>
        </w:rPr>
        <w:t>(запрашиваются по требованию Фонда)</w:t>
      </w:r>
    </w:p>
    <w:p w:rsidR="000C523C" w:rsidRPr="000C523C" w:rsidRDefault="000C523C" w:rsidP="000C523C"/>
    <w:p w:rsidR="000C523C" w:rsidRPr="000C523C" w:rsidRDefault="000C523C" w:rsidP="000C523C"/>
    <w:p w:rsidR="000C523C" w:rsidRDefault="000C523C" w:rsidP="000C523C"/>
    <w:p w:rsidR="000C523C" w:rsidRDefault="000C523C" w:rsidP="000C523C">
      <w:pPr>
        <w:suppressAutoHyphens/>
        <w:ind w:firstLine="709"/>
        <w:jc w:val="center"/>
      </w:pPr>
      <w:r>
        <w:tab/>
      </w: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sectPr w:rsidR="000C523C" w:rsidSect="0073239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C523C" w:rsidRP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</w:pPr>
      <w:r w:rsidRPr="000C523C"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  <w:lastRenderedPageBreak/>
        <w:t>ВИДЫ</w:t>
      </w:r>
    </w:p>
    <w:p w:rsidR="000C523C" w:rsidRP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</w:pPr>
      <w:r w:rsidRPr="000C523C"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  <w:t>имущества, не принимаемого Фондом в качестве Обеспечения</w:t>
      </w:r>
    </w:p>
    <w:p w:rsidR="000C523C" w:rsidRPr="000C523C" w:rsidRDefault="000C523C" w:rsidP="000C523C">
      <w:pPr>
        <w:rPr>
          <w:rFonts w:eastAsia="Arial"/>
          <w:b/>
          <w:sz w:val="24"/>
          <w:szCs w:val="28"/>
        </w:rPr>
      </w:pPr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1. Имущество, залог которого ограничен или запрещен законом (ст. 336 Гражданского кодекса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РФ):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870"/>
        </w:tabs>
        <w:suppressAutoHyphens/>
        <w:ind w:right="124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объекты гражданских прав, ограниченные в обороте (ст. 129 Гражданского кодекса</w:t>
      </w:r>
      <w:r w:rsidRPr="000C523C">
        <w:rPr>
          <w:rFonts w:eastAsia="Arial"/>
          <w:spacing w:val="-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906"/>
        </w:tabs>
        <w:suppressAutoHyphens/>
        <w:ind w:right="119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имущество, которое не может свободно отчуждаться или переходить от одного лица к другому (п. 1 ст. 129 Гражданского кодекса</w:t>
      </w:r>
      <w:r w:rsidRPr="000C523C">
        <w:rPr>
          <w:rFonts w:eastAsia="Arial"/>
          <w:spacing w:val="-3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830"/>
        </w:tabs>
        <w:suppressAutoHyphens/>
        <w:ind w:right="122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виды объектов гражданских прав, в отношении которых введены ограничения </w:t>
      </w:r>
      <w:proofErr w:type="spellStart"/>
      <w:r w:rsidRPr="000C523C">
        <w:rPr>
          <w:rFonts w:eastAsia="Arial"/>
          <w:sz w:val="24"/>
          <w:szCs w:val="28"/>
        </w:rPr>
        <w:t>оборотоспособности</w:t>
      </w:r>
      <w:proofErr w:type="spellEnd"/>
      <w:r w:rsidRPr="000C523C">
        <w:rPr>
          <w:rFonts w:eastAsia="Arial"/>
          <w:sz w:val="24"/>
          <w:szCs w:val="28"/>
        </w:rPr>
        <w:t xml:space="preserve">, должны быть прямо указаны в законе </w:t>
      </w:r>
      <w:r w:rsidRPr="000C523C">
        <w:rPr>
          <w:rFonts w:eastAsia="Arial"/>
          <w:sz w:val="24"/>
          <w:szCs w:val="28"/>
        </w:rPr>
        <w:br/>
        <w:t>(п. 2 ст. 129  Гражданского кодекса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2. Имущество, свободная реализация которого </w:t>
      </w:r>
      <w:bookmarkStart w:id="0" w:name="_GoBack"/>
      <w:bookmarkEnd w:id="0"/>
      <w:r w:rsidRPr="000C523C">
        <w:rPr>
          <w:rFonts w:eastAsia="Arial"/>
          <w:sz w:val="24"/>
          <w:szCs w:val="28"/>
        </w:rPr>
        <w:t>запрещена в соответствии с законодательством РФ: вооружение, боеприпасы, военная техника, все виды ракетного топлива, ракетно-космические комплексы, системы связи и управления военного назначения и</w:t>
      </w:r>
      <w:r w:rsidRPr="000C523C">
        <w:rPr>
          <w:rFonts w:eastAsia="Arial"/>
          <w:spacing w:val="-1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т.д.</w:t>
      </w:r>
    </w:p>
    <w:p w:rsidR="000C523C" w:rsidRPr="000C523C" w:rsidRDefault="000C523C" w:rsidP="000C523C">
      <w:pPr>
        <w:tabs>
          <w:tab w:val="left" w:pos="952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3. Земельные участки, перечисленные в ст. 27 Земельного кодекса</w:t>
      </w:r>
      <w:r w:rsidRPr="000C523C">
        <w:rPr>
          <w:rFonts w:eastAsia="Arial"/>
          <w:spacing w:val="-3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РФ: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1024"/>
        </w:tabs>
        <w:suppressAutoHyphens/>
        <w:ind w:right="115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находящиеся в государственной или муниципальной </w:t>
      </w:r>
      <w:proofErr w:type="gramStart"/>
      <w:r w:rsidRPr="000C523C">
        <w:rPr>
          <w:rFonts w:eastAsia="Arial"/>
          <w:sz w:val="24"/>
          <w:szCs w:val="28"/>
        </w:rPr>
        <w:t>собственности</w:t>
      </w:r>
      <w:proofErr w:type="gramEnd"/>
      <w:r w:rsidRPr="000C523C">
        <w:rPr>
          <w:rFonts w:eastAsia="Arial"/>
          <w:sz w:val="24"/>
          <w:szCs w:val="28"/>
        </w:rPr>
        <w:t xml:space="preserve">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</w:t>
      </w:r>
      <w:r w:rsidRPr="000C523C">
        <w:rPr>
          <w:rFonts w:eastAsia="Arial"/>
          <w:spacing w:val="-1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т.д.;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998"/>
        </w:tabs>
        <w:suppressAutoHyphens/>
        <w:ind w:right="119" w:firstLine="669"/>
        <w:jc w:val="both"/>
        <w:rPr>
          <w:rFonts w:eastAsia="Arial"/>
          <w:sz w:val="24"/>
          <w:szCs w:val="28"/>
        </w:rPr>
      </w:pPr>
      <w:proofErr w:type="gramStart"/>
      <w:r w:rsidRPr="000C523C">
        <w:rPr>
          <w:rFonts w:eastAsia="Arial"/>
          <w:sz w:val="24"/>
          <w:szCs w:val="28"/>
        </w:rPr>
        <w:t>изъятые из оборота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</w:t>
      </w:r>
      <w:proofErr w:type="gramEnd"/>
      <w:r w:rsidRPr="000C523C">
        <w:rPr>
          <w:rFonts w:eastAsia="Arial"/>
          <w:sz w:val="24"/>
          <w:szCs w:val="28"/>
        </w:rPr>
        <w:t xml:space="preserve"> материалов и радиоактивных веществ, объектами, в соответствии с </w:t>
      </w:r>
      <w:proofErr w:type="gramStart"/>
      <w:r w:rsidRPr="000C523C">
        <w:rPr>
          <w:rFonts w:eastAsia="Arial"/>
          <w:sz w:val="24"/>
          <w:szCs w:val="28"/>
        </w:rPr>
        <w:t>видами</w:t>
      </w:r>
      <w:proofErr w:type="gramEnd"/>
      <w:r w:rsidRPr="000C523C">
        <w:rPr>
          <w:rFonts w:eastAsia="Arial"/>
          <w:sz w:val="24"/>
          <w:szCs w:val="28"/>
        </w:rPr>
        <w:t xml:space="preserve"> деятельности которых созданы закрытые административно- территориальные образования, объектами учреждений и органов Федеральной службы исполнения наказаний и т.д.</w:t>
      </w:r>
    </w:p>
    <w:p w:rsidR="000C523C" w:rsidRPr="000C523C" w:rsidRDefault="000C523C" w:rsidP="000C523C">
      <w:pPr>
        <w:tabs>
          <w:tab w:val="left" w:pos="567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4. Земельные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участки,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относящиеся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к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лесному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фонду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(ст.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8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Лесного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 xml:space="preserve">кодекса </w:t>
      </w:r>
      <w:r w:rsidRPr="000C523C">
        <w:rPr>
          <w:rFonts w:eastAsia="Arial"/>
          <w:spacing w:val="-1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32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5. Участки недр (ст. 1.2 Закона РФ «О</w:t>
      </w:r>
      <w:r w:rsidRPr="000C523C">
        <w:rPr>
          <w:rFonts w:eastAsia="Arial"/>
          <w:spacing w:val="-18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недрах»).</w:t>
      </w:r>
    </w:p>
    <w:p w:rsidR="000C523C" w:rsidRPr="000C523C" w:rsidRDefault="000C523C" w:rsidP="000C523C">
      <w:pPr>
        <w:tabs>
          <w:tab w:val="left" w:pos="567"/>
          <w:tab w:val="left" w:pos="1214"/>
          <w:tab w:val="left" w:pos="2750"/>
          <w:tab w:val="left" w:pos="3905"/>
          <w:tab w:val="left" w:pos="5148"/>
          <w:tab w:val="left" w:pos="6360"/>
          <w:tab w:val="left" w:pos="7485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6. Часть земельного участка, площадь которого меньше минимального размера, установленного нормативными актами Республики Тыва и нормативными актами органов местного самоуправления для земель различного и разрешенного использования (ст. 63 Закона РФ «Об ипотеке»).</w:t>
      </w:r>
    </w:p>
    <w:p w:rsidR="000C523C" w:rsidRPr="000C523C" w:rsidRDefault="000C523C" w:rsidP="000C523C">
      <w:pPr>
        <w:tabs>
          <w:tab w:val="left" w:pos="952"/>
        </w:tabs>
        <w:ind w:right="120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7. </w:t>
      </w:r>
      <w:proofErr w:type="gramStart"/>
      <w:r w:rsidRPr="000C523C">
        <w:rPr>
          <w:rFonts w:eastAsia="Arial"/>
          <w:sz w:val="24"/>
          <w:szCs w:val="28"/>
        </w:rPr>
        <w:t>Доли в праве собственности на земельный участок (ст. 62 Закона РФ «Об ипотеке», кроме случая залога доли в праве собственности на земельный участок одновременно с залогом здания, сооружения, помещения (ст. 69 Закона РФ «Об ипотеке»).</w:t>
      </w:r>
      <w:proofErr w:type="gramEnd"/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8. Недвижимое имущество граждан, на которое в соответствии с законодательством не может быть обращено взыскание (ст. 446 ГПК</w:t>
      </w:r>
      <w:r w:rsidRPr="000C523C">
        <w:rPr>
          <w:rFonts w:eastAsia="Arial"/>
          <w:spacing w:val="-32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952"/>
        </w:tabs>
        <w:ind w:right="123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9. </w:t>
      </w:r>
      <w:proofErr w:type="gramStart"/>
      <w:r w:rsidRPr="000C523C">
        <w:rPr>
          <w:rFonts w:eastAsia="Arial"/>
          <w:sz w:val="24"/>
          <w:szCs w:val="28"/>
        </w:rPr>
        <w:t>Другие объекты гражданских прав, на которые в соответствии с законом не может быть обращено взыскание, изъятые из оборота, свободная реализация которых</w:t>
      </w:r>
      <w:r w:rsidRPr="000C523C">
        <w:rPr>
          <w:rFonts w:eastAsia="Arial"/>
          <w:spacing w:val="-9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запрещена.</w:t>
      </w:r>
      <w:proofErr w:type="gramEnd"/>
    </w:p>
    <w:p w:rsidR="000C523C" w:rsidRPr="000C523C" w:rsidRDefault="000C523C" w:rsidP="000C523C">
      <w:pPr>
        <w:tabs>
          <w:tab w:val="left" w:pos="1094"/>
        </w:tabs>
        <w:ind w:right="116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10. Охраняемые результаты интеллектуальной деятельности и приравненные к ним средства индивидуализации (интеллектуальная</w:t>
      </w:r>
      <w:r w:rsidRPr="000C523C">
        <w:rPr>
          <w:rFonts w:eastAsia="Arial"/>
          <w:spacing w:val="-31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собственность).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11. Земельные участки сельскохозяйственного</w:t>
      </w:r>
      <w:r w:rsidRPr="000C523C">
        <w:rPr>
          <w:rFonts w:eastAsia="Arial"/>
          <w:spacing w:val="-29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назначения.</w:t>
      </w:r>
    </w:p>
    <w:p w:rsidR="000C523C" w:rsidRPr="000C523C" w:rsidRDefault="000C523C" w:rsidP="000C523C">
      <w:pPr>
        <w:tabs>
          <w:tab w:val="left" w:pos="1094"/>
        </w:tabs>
        <w:ind w:right="119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12. Права пользования (аренда) имуществом, за исключением случаев, прямо указанных в настоящем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стандарте.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lastRenderedPageBreak/>
        <w:t>13. Обязательственные права (право требования) по договорам</w:t>
      </w:r>
      <w:r w:rsidRPr="000C523C">
        <w:rPr>
          <w:rFonts w:eastAsia="Arial"/>
          <w:spacing w:val="-3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(контрактам).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14. Имущество, находящееся за пределами Российской</w:t>
      </w:r>
      <w:r w:rsidRPr="000C523C">
        <w:rPr>
          <w:rFonts w:eastAsia="Arial"/>
          <w:spacing w:val="-3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Федерации.</w:t>
      </w:r>
    </w:p>
    <w:p w:rsidR="000C523C" w:rsidRPr="000C523C" w:rsidRDefault="000C523C" w:rsidP="000C523C">
      <w:pPr>
        <w:tabs>
          <w:tab w:val="left" w:pos="1094"/>
        </w:tabs>
        <w:ind w:right="115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15. Государственное или муниципальное имущество, переданное юридическим лицам на праве оперативного управления или хозяйственного ведения, за исключением имущества государственных унитарных предприятий и муниципальных унитарных предприятий, отчуждение которого не лишит предприятие возможности осуществлять деятельность, цели, предмет, виды которой определены уставом такого</w:t>
      </w:r>
      <w:r w:rsidRPr="000C523C">
        <w:rPr>
          <w:rFonts w:eastAsia="Arial"/>
          <w:spacing w:val="-1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предприятия.</w:t>
      </w:r>
    </w:p>
    <w:p w:rsidR="000C523C" w:rsidRPr="000C523C" w:rsidRDefault="000C523C" w:rsidP="000C523C">
      <w:pPr>
        <w:tabs>
          <w:tab w:val="left" w:pos="1233"/>
          <w:tab w:val="left" w:pos="1234"/>
        </w:tabs>
        <w:ind w:right="25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16. Государственные и корпоративные облигации, номинированные в рублях и обращающиеся на российском биржевом</w:t>
      </w:r>
      <w:r w:rsidRPr="000C523C">
        <w:rPr>
          <w:rFonts w:eastAsia="Arial"/>
          <w:spacing w:val="-2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рынке;</w:t>
      </w:r>
    </w:p>
    <w:p w:rsidR="000C523C" w:rsidRPr="000C523C" w:rsidRDefault="000C523C" w:rsidP="000C523C">
      <w:pPr>
        <w:tabs>
          <w:tab w:val="left" w:pos="1233"/>
          <w:tab w:val="left" w:pos="123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17. Акции юридических лиц и доли участия в уставном капитале</w:t>
      </w:r>
      <w:r w:rsidRPr="000C523C">
        <w:rPr>
          <w:rFonts w:eastAsia="Arial"/>
          <w:spacing w:val="-21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юридических лиц</w:t>
      </w:r>
      <w:proofErr w:type="gramStart"/>
      <w:r w:rsidRPr="000C523C">
        <w:rPr>
          <w:rFonts w:eastAsia="Arial"/>
          <w:sz w:val="24"/>
          <w:szCs w:val="28"/>
        </w:rPr>
        <w:t>.».</w:t>
      </w:r>
      <w:proofErr w:type="gramEnd"/>
    </w:p>
    <w:p w:rsidR="000A6328" w:rsidRPr="000C523C" w:rsidRDefault="000A6328" w:rsidP="000C523C">
      <w:pPr>
        <w:tabs>
          <w:tab w:val="left" w:pos="7560"/>
        </w:tabs>
        <w:rPr>
          <w:sz w:val="20"/>
        </w:rPr>
      </w:pPr>
    </w:p>
    <w:sectPr w:rsidR="000A6328" w:rsidRPr="000C523C" w:rsidSect="007323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DC6"/>
    <w:multiLevelType w:val="hybridMultilevel"/>
    <w:tmpl w:val="EE0E4FD8"/>
    <w:lvl w:ilvl="0" w:tplc="8670E518">
      <w:numFmt w:val="bullet"/>
      <w:lvlText w:val="-"/>
      <w:lvlJc w:val="left"/>
      <w:pPr>
        <w:ind w:left="100" w:hanging="20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60A04E82">
      <w:numFmt w:val="bullet"/>
      <w:lvlText w:val="•"/>
      <w:lvlJc w:val="left"/>
      <w:pPr>
        <w:ind w:left="1074" w:hanging="202"/>
      </w:pPr>
      <w:rPr>
        <w:rFonts w:hint="default"/>
      </w:rPr>
    </w:lvl>
    <w:lvl w:ilvl="2" w:tplc="5FDC0FE4">
      <w:numFmt w:val="bullet"/>
      <w:lvlText w:val="•"/>
      <w:lvlJc w:val="left"/>
      <w:pPr>
        <w:ind w:left="2049" w:hanging="202"/>
      </w:pPr>
      <w:rPr>
        <w:rFonts w:hint="default"/>
      </w:rPr>
    </w:lvl>
    <w:lvl w:ilvl="3" w:tplc="F0AED5BE">
      <w:numFmt w:val="bullet"/>
      <w:lvlText w:val="•"/>
      <w:lvlJc w:val="left"/>
      <w:pPr>
        <w:ind w:left="3023" w:hanging="202"/>
      </w:pPr>
      <w:rPr>
        <w:rFonts w:hint="default"/>
      </w:rPr>
    </w:lvl>
    <w:lvl w:ilvl="4" w:tplc="82E02A3A">
      <w:numFmt w:val="bullet"/>
      <w:lvlText w:val="•"/>
      <w:lvlJc w:val="left"/>
      <w:pPr>
        <w:ind w:left="3998" w:hanging="202"/>
      </w:pPr>
      <w:rPr>
        <w:rFonts w:hint="default"/>
      </w:rPr>
    </w:lvl>
    <w:lvl w:ilvl="5" w:tplc="519E833C">
      <w:numFmt w:val="bullet"/>
      <w:lvlText w:val="•"/>
      <w:lvlJc w:val="left"/>
      <w:pPr>
        <w:ind w:left="4973" w:hanging="202"/>
      </w:pPr>
      <w:rPr>
        <w:rFonts w:hint="default"/>
      </w:rPr>
    </w:lvl>
    <w:lvl w:ilvl="6" w:tplc="33E68BE4">
      <w:numFmt w:val="bullet"/>
      <w:lvlText w:val="•"/>
      <w:lvlJc w:val="left"/>
      <w:pPr>
        <w:ind w:left="5947" w:hanging="202"/>
      </w:pPr>
      <w:rPr>
        <w:rFonts w:hint="default"/>
      </w:rPr>
    </w:lvl>
    <w:lvl w:ilvl="7" w:tplc="4B348BA0">
      <w:numFmt w:val="bullet"/>
      <w:lvlText w:val="•"/>
      <w:lvlJc w:val="left"/>
      <w:pPr>
        <w:ind w:left="6922" w:hanging="202"/>
      </w:pPr>
      <w:rPr>
        <w:rFonts w:hint="default"/>
      </w:rPr>
    </w:lvl>
    <w:lvl w:ilvl="8" w:tplc="070CA2AE">
      <w:numFmt w:val="bullet"/>
      <w:lvlText w:val="•"/>
      <w:lvlJc w:val="left"/>
      <w:pPr>
        <w:ind w:left="7896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93"/>
    <w:rsid w:val="000A6328"/>
    <w:rsid w:val="000C523C"/>
    <w:rsid w:val="003B306A"/>
    <w:rsid w:val="006B5607"/>
    <w:rsid w:val="006F7860"/>
    <w:rsid w:val="00732393"/>
    <w:rsid w:val="00A15D28"/>
    <w:rsid w:val="00C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393"/>
    <w:rPr>
      <w:b/>
      <w:bCs/>
    </w:rPr>
  </w:style>
  <w:style w:type="paragraph" w:styleId="a4">
    <w:name w:val="Normal (Web)"/>
    <w:basedOn w:val="a"/>
    <w:uiPriority w:val="99"/>
    <w:semiHidden/>
    <w:unhideWhenUsed/>
    <w:rsid w:val="006F7860"/>
    <w:pPr>
      <w:widowControl/>
      <w:autoSpaceDE/>
      <w:autoSpaceDN/>
      <w:spacing w:before="100" w:beforeAutospacing="1" w:after="100" w:afterAutospacing="1"/>
    </w:pPr>
    <w:rPr>
      <w:rFonts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393"/>
    <w:rPr>
      <w:b/>
      <w:bCs/>
    </w:rPr>
  </w:style>
  <w:style w:type="paragraph" w:styleId="a4">
    <w:name w:val="Normal (Web)"/>
    <w:basedOn w:val="a"/>
    <w:uiPriority w:val="99"/>
    <w:semiHidden/>
    <w:unhideWhenUsed/>
    <w:rsid w:val="006F7860"/>
    <w:pPr>
      <w:widowControl/>
      <w:autoSpaceDE/>
      <w:autoSpaceDN/>
      <w:spacing w:before="100" w:beforeAutospacing="1" w:after="100" w:afterAutospacing="1"/>
    </w:pPr>
    <w:rPr>
      <w:rFonts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45667</cp:lastModifiedBy>
  <cp:revision>7</cp:revision>
  <cp:lastPrinted>2022-12-09T10:22:00Z</cp:lastPrinted>
  <dcterms:created xsi:type="dcterms:W3CDTF">2022-12-01T10:03:00Z</dcterms:created>
  <dcterms:modified xsi:type="dcterms:W3CDTF">2022-12-13T03:55:00Z</dcterms:modified>
</cp:coreProperties>
</file>